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518E95D4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CE32C3" w:rsidRPr="00CE32C3">
        <w:rPr>
          <w:rFonts w:ascii="Verdana" w:hAnsi="Verdana"/>
          <w:b/>
          <w:sz w:val="22"/>
          <w:szCs w:val="22"/>
          <w:u w:color="000000"/>
        </w:rPr>
        <w:t>przyjęcia logo miejscowości Gminy Bojszowy oraz zasad ich używania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2024-10-15T07:33:00Z</cp:lastPrinted>
  <dcterms:created xsi:type="dcterms:W3CDTF">2025-09-17T10:53:00Z</dcterms:created>
  <dcterms:modified xsi:type="dcterms:W3CDTF">2025-09-17T10:53:00Z</dcterms:modified>
</cp:coreProperties>
</file>