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56C9B80A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6624C" w:rsidRPr="0076624C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0D1FBA" w:rsidRPr="000D1FBA">
        <w:rPr>
          <w:rFonts w:ascii="Verdana" w:hAnsi="Verdana"/>
          <w:b/>
          <w:sz w:val="22"/>
          <w:szCs w:val="22"/>
          <w:u w:color="000000"/>
        </w:rPr>
        <w:t>ustalenia wysokości ekwiwalentu pieniężnego dla strażaków ratowników i kandydatów na strażaków ratowników Ochotniczych Straży Pożarnych z terenu Gminy Bojszowy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76F32"/>
    <w:rsid w:val="000C57E0"/>
    <w:rsid w:val="000D1FBA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6624C"/>
    <w:rsid w:val="007B1D62"/>
    <w:rsid w:val="007F6E39"/>
    <w:rsid w:val="00830E5A"/>
    <w:rsid w:val="008A44D0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C2AC6"/>
    <w:rsid w:val="00CD1F12"/>
    <w:rsid w:val="00CD4D52"/>
    <w:rsid w:val="00CE32C3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2024-10-15T07:33:00Z</cp:lastPrinted>
  <dcterms:created xsi:type="dcterms:W3CDTF">2025-09-17T10:53:00Z</dcterms:created>
  <dcterms:modified xsi:type="dcterms:W3CDTF">2025-09-17T10:53:00Z</dcterms:modified>
</cp:coreProperties>
</file>