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4E1D10D2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7E5ABD" w:rsidRPr="007E5ABD">
        <w:rPr>
          <w:rFonts w:ascii="Verdana" w:hAnsi="Verdana"/>
          <w:b/>
          <w:sz w:val="22"/>
          <w:szCs w:val="22"/>
          <w:u w:color="000000"/>
        </w:rPr>
        <w:t>określenia kryteriów, liczby punktów za kryteria oraz dokumentów niezbędnych do potwierdzenia spełniania tych kryteriów, obowiązujących na drugim etapie postępowania rekrutacyjnego do oddziałów przedszkolnych w przedszkolu i szkołach prowadzonych przez Gminę Bojszowy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7E5ABD"/>
    <w:rsid w:val="00830E5A"/>
    <w:rsid w:val="0083347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2023-01-05T12:14:00Z</cp:lastPrinted>
  <dcterms:created xsi:type="dcterms:W3CDTF">2023-11-15T08:10:00Z</dcterms:created>
  <dcterms:modified xsi:type="dcterms:W3CDTF">2023-11-28T12:45:00Z</dcterms:modified>
</cp:coreProperties>
</file>