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2FEC0DCE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8745F5" w:rsidRPr="008745F5">
        <w:rPr>
          <w:rFonts w:ascii="Verdana" w:hAnsi="Verdana"/>
          <w:b/>
          <w:sz w:val="22"/>
          <w:szCs w:val="22"/>
          <w:u w:color="000000"/>
        </w:rPr>
        <w:t>określenia zasad zwrotu wydatków na pomoc w postaci posiłku albo świadczenia rzeczowego w postaci produktów żywnościowych poniesionych przez gminę w związku z realizacją uchwały Rady Ministrów z dnia 23 sierpnia 2023 r. w sprawie ustanowienia wieloletniego rządowego programu „Posiłek w szkole i w domu” na lata 2024–2028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50040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745F5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7766A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2023-11-15T08:12:00Z</dcterms:created>
  <dcterms:modified xsi:type="dcterms:W3CDTF">2023-11-15T08:12:00Z</dcterms:modified>
</cp:coreProperties>
</file>