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A986A4D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B4C7B">
        <w:rPr>
          <w:rFonts w:ascii="Verdana" w:hAnsi="Verdana"/>
          <w:b/>
          <w:sz w:val="22"/>
          <w:szCs w:val="22"/>
          <w:u w:color="000000"/>
        </w:rPr>
        <w:t>z</w:t>
      </w:r>
      <w:r w:rsidR="00DB4C7B" w:rsidRPr="00DB4C7B">
        <w:rPr>
          <w:rFonts w:ascii="Verdana" w:hAnsi="Verdana"/>
          <w:b/>
          <w:sz w:val="22"/>
          <w:szCs w:val="22"/>
          <w:u w:color="000000"/>
        </w:rPr>
        <w:t>miany Uchwały nr XXI/137/2020 Rady Gminy Bojszowy z dnia 30 kwietnia 2020 roku w sprawie przyjęcia regulaminu wynagradzania nauczycieli zatrudnionych w placówkach oświatowych prowadzonych przez Gminę Bojszowy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B4C7B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cp:lastPrinted>2020-10-09T12:00:00Z</cp:lastPrinted>
  <dcterms:created xsi:type="dcterms:W3CDTF">2022-05-27T06:51:00Z</dcterms:created>
  <dcterms:modified xsi:type="dcterms:W3CDTF">2022-12-14T14:54:00Z</dcterms:modified>
</cp:coreProperties>
</file>