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2CBC5463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42296E" w:rsidRPr="0042296E">
        <w:rPr>
          <w:b/>
          <w:u w:color="000000"/>
        </w:rPr>
        <w:t>w sprawie ustalenia wysokości ekwiwalentu pieniężnego dla strażaków ratowników Ochotniczych Straży Pożarnych z terenu Gminy Bojszowy uczestniczących w działaniach ratowniczych, akcjach ratowniczych, szkoleniach i ćwiczeniach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późń.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384286"/>
    <w:rsid w:val="003D6661"/>
    <w:rsid w:val="003E4DAD"/>
    <w:rsid w:val="0042296E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19</cp:revision>
  <cp:lastPrinted>2020-10-09T12:00:00Z</cp:lastPrinted>
  <dcterms:created xsi:type="dcterms:W3CDTF">2020-09-10T06:00:00Z</dcterms:created>
  <dcterms:modified xsi:type="dcterms:W3CDTF">2022-02-17T13:01:00Z</dcterms:modified>
</cp:coreProperties>
</file>