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6736" w14:textId="43793FE4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B21751" w:rsidRPr="00B21751">
        <w:rPr>
          <w:b/>
          <w:u w:color="000000"/>
        </w:rPr>
        <w:t>niedochodzenia należności z tytułu rekompensaty, o której mowa w art. 10 ust. 1 pkt 1 ustawy z dnia 8 marca 2013 r. o przeciwdziałaniu nadmiernym opóźnieniom w transakcjach handlowych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D6661"/>
    <w:rsid w:val="003E4DAD"/>
    <w:rsid w:val="004C79F2"/>
    <w:rsid w:val="005D569D"/>
    <w:rsid w:val="0063045C"/>
    <w:rsid w:val="006D65C6"/>
    <w:rsid w:val="00761A37"/>
    <w:rsid w:val="00830E5A"/>
    <w:rsid w:val="008C6975"/>
    <w:rsid w:val="0099747B"/>
    <w:rsid w:val="009E4623"/>
    <w:rsid w:val="00B21751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2020-10-09T12:00:00Z</cp:lastPrinted>
  <dcterms:created xsi:type="dcterms:W3CDTF">2021-02-09T12:08:00Z</dcterms:created>
  <dcterms:modified xsi:type="dcterms:W3CDTF">2021-04-19T05:15:00Z</dcterms:modified>
</cp:coreProperties>
</file>