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18536A35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9753F9" w:rsidRPr="009753F9">
        <w:rPr>
          <w:rFonts w:ascii="Verdana" w:hAnsi="Verdana"/>
          <w:b/>
          <w:sz w:val="22"/>
          <w:szCs w:val="22"/>
          <w:u w:color="000000"/>
        </w:rPr>
        <w:t>w sprawie Regulaminu utrzymania czystości i porządku na terenie gminy Bojszowy</w:t>
      </w:r>
      <w:r w:rsidR="00D071DF" w:rsidRPr="00D071DF">
        <w:rPr>
          <w:rFonts w:ascii="Verdana" w:hAnsi="Verdana"/>
          <w:b/>
          <w:sz w:val="22"/>
          <w:szCs w:val="22"/>
          <w:u w:color="000000"/>
        </w:rPr>
        <w:t>”</w:t>
      </w:r>
    </w:p>
    <w:p w14:paraId="4624D59C" w14:textId="3EF2EA0F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28</cp:revision>
  <cp:lastPrinted>2020-10-09T12:00:00Z</cp:lastPrinted>
  <dcterms:created xsi:type="dcterms:W3CDTF">2020-09-10T06:00:00Z</dcterms:created>
  <dcterms:modified xsi:type="dcterms:W3CDTF">2022-11-02T08:24:00Z</dcterms:modified>
</cp:coreProperties>
</file>