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75CE828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F503D8" w:rsidRPr="00F503D8">
        <w:rPr>
          <w:rFonts w:ascii="Verdana" w:hAnsi="Verdana"/>
          <w:b/>
          <w:sz w:val="22"/>
          <w:szCs w:val="22"/>
          <w:u w:color="000000"/>
        </w:rPr>
        <w:t>w sprawie ustalenia górnych stawek opłat ponoszonych przez właścicieli nieruchomości za odbieranie odpadów komunalnych oraz opróżnianie zbiorników bezodpływowych i transport nieczystości ciekłych</w:t>
      </w:r>
    </w:p>
    <w:p w14:paraId="4624D59C" w14:textId="3EF2EA0F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03D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2022-11-02T08:26:00Z</dcterms:created>
  <dcterms:modified xsi:type="dcterms:W3CDTF">2022-11-02T08:26:00Z</dcterms:modified>
</cp:coreProperties>
</file>