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5308E23D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BF639C" w:rsidRPr="00BF639C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F643B8" w:rsidRPr="00F643B8">
        <w:rPr>
          <w:rFonts w:ascii="Verdana" w:hAnsi="Verdana"/>
          <w:b/>
          <w:sz w:val="22"/>
          <w:szCs w:val="22"/>
          <w:u w:color="000000"/>
        </w:rPr>
        <w:t>ustalenia średniej ceny jednostki paliwa w roku szkolnym 2022/2023 w Gminie Bojszowy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26</cp:revision>
  <cp:lastPrinted>2020-10-09T12:00:00Z</cp:lastPrinted>
  <dcterms:created xsi:type="dcterms:W3CDTF">2020-09-10T06:00:00Z</dcterms:created>
  <dcterms:modified xsi:type="dcterms:W3CDTF">2022-09-05T10:03:00Z</dcterms:modified>
</cp:coreProperties>
</file>